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E9BDE8" w14:textId="77777777" w:rsidR="005E21B5" w:rsidRDefault="005E21B5" w:rsidP="006F2D87">
      <w:pPr>
        <w:pStyle w:val="Header"/>
        <w:jc w:val="center"/>
        <w:rPr>
          <w:rFonts w:ascii="Verdana" w:hAnsi="Verdana"/>
          <w:b/>
          <w:bCs/>
          <w:sz w:val="56"/>
          <w:szCs w:val="56"/>
        </w:rPr>
      </w:pPr>
    </w:p>
    <w:p w14:paraId="44DBCF40" w14:textId="77777777" w:rsidR="00DC2920" w:rsidRDefault="00DC2920" w:rsidP="00DC2920">
      <w:pPr>
        <w:pStyle w:val="Header"/>
        <w:jc w:val="center"/>
        <w:rPr>
          <w:rFonts w:ascii="Verdana" w:hAnsi="Verdana"/>
          <w:b/>
          <w:bCs/>
          <w:sz w:val="56"/>
          <w:szCs w:val="56"/>
        </w:rPr>
      </w:pPr>
      <w:r>
        <w:rPr>
          <w:rFonts w:ascii="Verdana" w:hAnsi="Verdana"/>
          <w:b/>
          <w:bCs/>
          <w:sz w:val="56"/>
          <w:szCs w:val="56"/>
        </w:rPr>
        <w:t>DARSHAN ORNA</w:t>
      </w:r>
      <w:r w:rsidRPr="002C346A">
        <w:rPr>
          <w:rFonts w:ascii="Verdana" w:hAnsi="Verdana"/>
          <w:b/>
          <w:bCs/>
          <w:sz w:val="56"/>
          <w:szCs w:val="56"/>
        </w:rPr>
        <w:t xml:space="preserve"> LIMITED</w:t>
      </w:r>
    </w:p>
    <w:p w14:paraId="3FAAB446" w14:textId="77777777" w:rsidR="00DC2920" w:rsidRDefault="00DC2920" w:rsidP="00DC2920">
      <w:pPr>
        <w:pStyle w:val="Header"/>
        <w:pBdr>
          <w:bottom w:val="single" w:sz="4" w:space="1" w:color="auto"/>
        </w:pBdr>
        <w:jc w:val="center"/>
        <w:rPr>
          <w:rFonts w:ascii="Verdana" w:hAnsi="Verdana"/>
          <w:b/>
          <w:bCs/>
          <w:sz w:val="20"/>
          <w:szCs w:val="20"/>
        </w:rPr>
      </w:pPr>
      <w:r w:rsidRPr="009B150B">
        <w:rPr>
          <w:rFonts w:ascii="Verdana" w:hAnsi="Verdana"/>
          <w:b/>
          <w:bCs/>
          <w:sz w:val="20"/>
          <w:szCs w:val="20"/>
        </w:rPr>
        <w:t>Survey No. 02105+2106/3/</w:t>
      </w:r>
      <w:proofErr w:type="spellStart"/>
      <w:r w:rsidRPr="009B150B">
        <w:rPr>
          <w:rFonts w:ascii="Verdana" w:hAnsi="Verdana"/>
          <w:b/>
          <w:bCs/>
          <w:sz w:val="20"/>
          <w:szCs w:val="20"/>
        </w:rPr>
        <w:t>Lawar</w:t>
      </w:r>
      <w:proofErr w:type="spellEnd"/>
      <w:r w:rsidRPr="009B150B">
        <w:rPr>
          <w:rFonts w:ascii="Verdana" w:hAnsi="Verdana"/>
          <w:b/>
          <w:bCs/>
          <w:sz w:val="20"/>
          <w:szCs w:val="20"/>
        </w:rPr>
        <w:t xml:space="preserve"> Ni </w:t>
      </w:r>
      <w:proofErr w:type="spellStart"/>
      <w:r w:rsidRPr="009B150B">
        <w:rPr>
          <w:rFonts w:ascii="Verdana" w:hAnsi="Verdana"/>
          <w:b/>
          <w:bCs/>
          <w:sz w:val="20"/>
          <w:szCs w:val="20"/>
        </w:rPr>
        <w:t>Pole</w:t>
      </w:r>
      <w:proofErr w:type="gramStart"/>
      <w:r w:rsidRPr="009B150B">
        <w:rPr>
          <w:rFonts w:ascii="Verdana" w:hAnsi="Verdana"/>
          <w:b/>
          <w:bCs/>
          <w:sz w:val="20"/>
          <w:szCs w:val="20"/>
        </w:rPr>
        <w:t>,Shekh</w:t>
      </w:r>
      <w:proofErr w:type="spellEnd"/>
      <w:proofErr w:type="gramEnd"/>
      <w:r w:rsidRPr="009B150B">
        <w:rPr>
          <w:rFonts w:ascii="Verdana" w:hAnsi="Verdana"/>
          <w:b/>
          <w:bCs/>
          <w:sz w:val="20"/>
          <w:szCs w:val="20"/>
        </w:rPr>
        <w:t xml:space="preserve"> </w:t>
      </w:r>
      <w:proofErr w:type="spellStart"/>
      <w:r w:rsidRPr="009B150B">
        <w:rPr>
          <w:rFonts w:ascii="Verdana" w:hAnsi="Verdana"/>
          <w:b/>
          <w:bCs/>
          <w:sz w:val="20"/>
          <w:szCs w:val="20"/>
        </w:rPr>
        <w:t>Sariya</w:t>
      </w:r>
      <w:proofErr w:type="spellEnd"/>
      <w:r w:rsidRPr="009B150B">
        <w:rPr>
          <w:rFonts w:ascii="Verdana" w:hAnsi="Verdana"/>
          <w:b/>
          <w:bCs/>
          <w:sz w:val="20"/>
          <w:szCs w:val="20"/>
        </w:rPr>
        <w:t xml:space="preserve"> Chambers, Madan Gopal Haveli </w:t>
      </w:r>
      <w:r>
        <w:rPr>
          <w:rFonts w:ascii="Verdana" w:hAnsi="Verdana"/>
          <w:b/>
          <w:bCs/>
          <w:sz w:val="20"/>
          <w:szCs w:val="20"/>
        </w:rPr>
        <w:t xml:space="preserve">   </w:t>
      </w:r>
      <w:r w:rsidRPr="009B150B">
        <w:rPr>
          <w:rFonts w:ascii="Verdana" w:hAnsi="Verdana"/>
          <w:b/>
          <w:bCs/>
          <w:sz w:val="20"/>
          <w:szCs w:val="20"/>
        </w:rPr>
        <w:t xml:space="preserve">Road, </w:t>
      </w:r>
      <w:proofErr w:type="spellStart"/>
      <w:r w:rsidRPr="009B150B">
        <w:rPr>
          <w:rFonts w:ascii="Verdana" w:hAnsi="Verdana"/>
          <w:b/>
          <w:bCs/>
          <w:sz w:val="20"/>
          <w:szCs w:val="20"/>
        </w:rPr>
        <w:t>Manek</w:t>
      </w:r>
      <w:proofErr w:type="spellEnd"/>
      <w:r w:rsidRPr="009B150B">
        <w:rPr>
          <w:rFonts w:ascii="Verdana" w:hAnsi="Verdana"/>
          <w:b/>
          <w:bCs/>
          <w:sz w:val="20"/>
          <w:szCs w:val="20"/>
        </w:rPr>
        <w:t xml:space="preserve"> </w:t>
      </w:r>
      <w:proofErr w:type="spellStart"/>
      <w:r w:rsidRPr="009B150B">
        <w:rPr>
          <w:rFonts w:ascii="Verdana" w:hAnsi="Verdana"/>
          <w:b/>
          <w:bCs/>
          <w:sz w:val="20"/>
          <w:szCs w:val="20"/>
        </w:rPr>
        <w:t>Chowk</w:t>
      </w:r>
      <w:proofErr w:type="spellEnd"/>
      <w:r w:rsidRPr="009B150B">
        <w:rPr>
          <w:rFonts w:ascii="Verdana" w:hAnsi="Verdana"/>
          <w:b/>
          <w:bCs/>
          <w:sz w:val="20"/>
          <w:szCs w:val="20"/>
        </w:rPr>
        <w:t xml:space="preserve"> Ahmedabad-380001</w:t>
      </w:r>
    </w:p>
    <w:p w14:paraId="12D2BC19" w14:textId="000D13DA" w:rsidR="00DC2920" w:rsidRDefault="00DC2920" w:rsidP="00DC2920">
      <w:pPr>
        <w:pStyle w:val="Header"/>
        <w:pBdr>
          <w:bottom w:val="single" w:sz="4" w:space="1" w:color="auto"/>
        </w:pBdr>
        <w:rPr>
          <w:rStyle w:val="Hyperlink"/>
          <w:rFonts w:ascii="Verdana" w:hAnsi="Verdana"/>
          <w:b/>
          <w:bCs/>
          <w:sz w:val="20"/>
          <w:szCs w:val="20"/>
        </w:rPr>
      </w:pPr>
      <w:r w:rsidRPr="009A4C05">
        <w:rPr>
          <w:rFonts w:ascii="Verdana" w:hAnsi="Verdana"/>
          <w:b/>
          <w:bCs/>
          <w:sz w:val="20"/>
          <w:szCs w:val="20"/>
        </w:rPr>
        <w:t xml:space="preserve">CIN: </w:t>
      </w:r>
      <w:r w:rsidRPr="009B150B">
        <w:rPr>
          <w:rFonts w:ascii="Verdana" w:hAnsi="Verdana"/>
          <w:b/>
          <w:bCs/>
          <w:sz w:val="20"/>
          <w:szCs w:val="20"/>
        </w:rPr>
        <w:t>L36910GJ2011PLC063745</w:t>
      </w:r>
      <w:r>
        <w:rPr>
          <w:rFonts w:ascii="Verdana" w:hAnsi="Verdana"/>
          <w:b/>
          <w:bCs/>
          <w:sz w:val="20"/>
          <w:szCs w:val="20"/>
        </w:rPr>
        <w:t xml:space="preserve">        </w:t>
      </w:r>
      <w:r>
        <w:rPr>
          <w:rFonts w:ascii="Verdana" w:hAnsi="Verdana"/>
          <w:b/>
          <w:bCs/>
          <w:sz w:val="20"/>
          <w:szCs w:val="20"/>
        </w:rPr>
        <w:tab/>
      </w:r>
      <w:r>
        <w:rPr>
          <w:rFonts w:ascii="Verdana" w:hAnsi="Verdana"/>
          <w:b/>
          <w:bCs/>
          <w:sz w:val="20"/>
          <w:szCs w:val="20"/>
        </w:rPr>
        <w:t xml:space="preserve">                   </w:t>
      </w:r>
      <w:r w:rsidRPr="009A4C05">
        <w:rPr>
          <w:rFonts w:ascii="Verdana" w:hAnsi="Verdana"/>
          <w:b/>
          <w:bCs/>
          <w:sz w:val="20"/>
          <w:szCs w:val="20"/>
        </w:rPr>
        <w:t xml:space="preserve">E-Mail: </w:t>
      </w:r>
      <w:hyperlink r:id="rId7" w:history="1">
        <w:r w:rsidRPr="00224BC0">
          <w:rPr>
            <w:rStyle w:val="Hyperlink"/>
            <w:rFonts w:ascii="Verdana" w:hAnsi="Verdana"/>
            <w:b/>
            <w:bCs/>
            <w:sz w:val="20"/>
            <w:szCs w:val="20"/>
          </w:rPr>
          <w:t>compliancingdarshan@gmail.com</w:t>
        </w:r>
      </w:hyperlink>
    </w:p>
    <w:p w14:paraId="3986B651" w14:textId="13C13618" w:rsidR="00DC2920" w:rsidRPr="00376ACB" w:rsidRDefault="00DC2920" w:rsidP="00DC2920">
      <w:pPr>
        <w:pStyle w:val="Header"/>
        <w:pBdr>
          <w:bottom w:val="single" w:sz="4" w:space="1" w:color="auto"/>
        </w:pBdr>
        <w:rPr>
          <w:rFonts w:ascii="Verdana" w:hAnsi="Verdana"/>
          <w:b/>
          <w:bCs/>
          <w:sz w:val="20"/>
          <w:szCs w:val="20"/>
        </w:rPr>
      </w:pPr>
      <w:r w:rsidRPr="009B150B">
        <w:rPr>
          <w:rFonts w:ascii="Verdana" w:hAnsi="Verdana"/>
          <w:b/>
          <w:bCs/>
          <w:sz w:val="20"/>
          <w:szCs w:val="20"/>
        </w:rPr>
        <w:t>Website</w:t>
      </w:r>
      <w:r w:rsidRPr="009A4C05">
        <w:rPr>
          <w:rFonts w:ascii="Verdana" w:hAnsi="Verdana"/>
          <w:b/>
          <w:bCs/>
          <w:sz w:val="20"/>
          <w:szCs w:val="20"/>
        </w:rPr>
        <w:t xml:space="preserve">: </w:t>
      </w:r>
      <w:hyperlink r:id="rId8" w:history="1">
        <w:r w:rsidRPr="00224BC0">
          <w:rPr>
            <w:rStyle w:val="Hyperlink"/>
            <w:rFonts w:ascii="Verdana" w:hAnsi="Verdana"/>
            <w:b/>
            <w:bCs/>
            <w:sz w:val="20"/>
            <w:szCs w:val="20"/>
          </w:rPr>
          <w:t>www.darshanorna.com</w:t>
        </w:r>
      </w:hyperlink>
      <w:r>
        <w:rPr>
          <w:rFonts w:ascii="Verdana" w:hAnsi="Verdana"/>
          <w:b/>
          <w:bCs/>
          <w:sz w:val="20"/>
          <w:szCs w:val="20"/>
        </w:rPr>
        <w:t xml:space="preserve">                         </w:t>
      </w:r>
      <w:bookmarkStart w:id="0" w:name="_GoBack"/>
      <w:bookmarkEnd w:id="0"/>
      <w:r>
        <w:rPr>
          <w:rFonts w:ascii="Verdana" w:hAnsi="Verdana"/>
          <w:b/>
          <w:bCs/>
          <w:sz w:val="20"/>
          <w:szCs w:val="20"/>
        </w:rPr>
        <w:t xml:space="preserve">Ph.: </w:t>
      </w:r>
      <w:r w:rsidRPr="009B150B">
        <w:rPr>
          <w:rFonts w:ascii="Verdana" w:hAnsi="Verdana"/>
          <w:b/>
          <w:bCs/>
          <w:sz w:val="20"/>
          <w:szCs w:val="20"/>
        </w:rPr>
        <w:t xml:space="preserve">+91 79 22142568  </w:t>
      </w:r>
    </w:p>
    <w:p w14:paraId="10CDB49F" w14:textId="75127AF7" w:rsidR="00FB091B" w:rsidRPr="00D24345" w:rsidRDefault="00FB091B" w:rsidP="00FE7039">
      <w:pPr>
        <w:pStyle w:val="BodyText"/>
        <w:rPr>
          <w:rFonts w:ascii="Cambria" w:hAnsi="Cambria"/>
          <w:sz w:val="12"/>
          <w:szCs w:val="22"/>
        </w:rPr>
      </w:pPr>
    </w:p>
    <w:p w14:paraId="3E9700F8" w14:textId="77777777" w:rsidR="00083D91" w:rsidRPr="00805D25" w:rsidRDefault="00083D91" w:rsidP="00083D91">
      <w:pPr>
        <w:jc w:val="center"/>
        <w:outlineLvl w:val="2"/>
        <w:rPr>
          <w:rFonts w:ascii="Cambria" w:eastAsia="Times New Roman" w:hAnsi="Cambria" w:cs="Times New Roman"/>
          <w:b/>
          <w:bCs/>
        </w:rPr>
      </w:pPr>
      <w:r w:rsidRPr="00805D25">
        <w:rPr>
          <w:rFonts w:ascii="Cambria" w:eastAsia="Times New Roman" w:hAnsi="Cambria" w:cs="Times New Roman"/>
          <w:b/>
          <w:bCs/>
        </w:rPr>
        <w:t>Policy for Identification of 'Material' Litigation</w:t>
      </w:r>
    </w:p>
    <w:p w14:paraId="420CEF54" w14:textId="77777777" w:rsidR="00083D91" w:rsidRPr="00805D25" w:rsidRDefault="00083D91" w:rsidP="00083D91">
      <w:pPr>
        <w:jc w:val="center"/>
        <w:outlineLvl w:val="2"/>
        <w:rPr>
          <w:rFonts w:ascii="Cambria" w:eastAsia="Times New Roman" w:hAnsi="Cambria" w:cs="Times New Roman"/>
          <w:b/>
          <w:bCs/>
        </w:rPr>
      </w:pPr>
    </w:p>
    <w:p w14:paraId="05463D11" w14:textId="77777777" w:rsidR="00083D91" w:rsidRPr="00805D25" w:rsidRDefault="00083D91" w:rsidP="00083D91">
      <w:pPr>
        <w:spacing w:line="299" w:lineRule="atLeast"/>
        <w:jc w:val="both"/>
        <w:rPr>
          <w:rFonts w:ascii="Cambria" w:eastAsia="Times New Roman" w:hAnsi="Cambria" w:cs="Times New Roman"/>
        </w:rPr>
      </w:pPr>
      <w:r w:rsidRPr="00805D25">
        <w:rPr>
          <w:rFonts w:ascii="Cambria" w:eastAsia="Times New Roman" w:hAnsi="Cambria" w:cs="Times New Roman"/>
        </w:rPr>
        <w:t>In terms of the SEBI ICDR Regulations, the Issuer shall disclose all the litigations involving the Issuer, its directors, promoters, Group Companies and subsidiaries, related to:</w:t>
      </w:r>
    </w:p>
    <w:p w14:paraId="540D2CC6" w14:textId="0D2A5CFF" w:rsidR="00D24345" w:rsidRPr="00805D25" w:rsidRDefault="00FA152E" w:rsidP="00FA152E">
      <w:pPr>
        <w:tabs>
          <w:tab w:val="left" w:pos="4573"/>
        </w:tabs>
        <w:spacing w:line="299" w:lineRule="atLeast"/>
        <w:jc w:val="both"/>
        <w:rPr>
          <w:rFonts w:ascii="Cambria" w:eastAsia="Times New Roman" w:hAnsi="Cambria" w:cs="Times New Roman"/>
        </w:rPr>
      </w:pPr>
      <w:r>
        <w:rPr>
          <w:rFonts w:ascii="Cambria" w:eastAsia="Times New Roman" w:hAnsi="Cambria" w:cs="Times New Roman"/>
        </w:rPr>
        <w:tab/>
      </w:r>
    </w:p>
    <w:p w14:paraId="72A15697" w14:textId="77777777" w:rsidR="00083D91" w:rsidRPr="00805D25" w:rsidRDefault="00083D91" w:rsidP="00083D91">
      <w:pPr>
        <w:widowControl/>
        <w:numPr>
          <w:ilvl w:val="0"/>
          <w:numId w:val="4"/>
        </w:numPr>
        <w:spacing w:line="299" w:lineRule="atLeast"/>
        <w:ind w:left="816"/>
        <w:jc w:val="both"/>
        <w:rPr>
          <w:rFonts w:ascii="Cambria" w:eastAsia="Times New Roman" w:hAnsi="Cambria" w:cs="Times New Roman"/>
        </w:rPr>
      </w:pPr>
      <w:r w:rsidRPr="00805D25">
        <w:rPr>
          <w:rFonts w:ascii="Cambria" w:eastAsia="Times New Roman" w:hAnsi="Cambria" w:cs="Times New Roman"/>
        </w:rPr>
        <w:t>All criminal proceedings;</w:t>
      </w:r>
    </w:p>
    <w:p w14:paraId="3283DF82" w14:textId="77777777" w:rsidR="00083D91" w:rsidRPr="00805D25" w:rsidRDefault="00083D91" w:rsidP="00083D91">
      <w:pPr>
        <w:widowControl/>
        <w:numPr>
          <w:ilvl w:val="0"/>
          <w:numId w:val="4"/>
        </w:numPr>
        <w:spacing w:line="299" w:lineRule="atLeast"/>
        <w:ind w:left="816"/>
        <w:jc w:val="both"/>
        <w:rPr>
          <w:rFonts w:ascii="Cambria" w:eastAsia="Times New Roman" w:hAnsi="Cambria" w:cs="Times New Roman"/>
        </w:rPr>
      </w:pPr>
      <w:r w:rsidRPr="00805D25">
        <w:rPr>
          <w:rFonts w:ascii="Cambria" w:eastAsia="Times New Roman" w:hAnsi="Cambria" w:cs="Times New Roman"/>
        </w:rPr>
        <w:t>All actions by statutory / regulatory authorities; and</w:t>
      </w:r>
    </w:p>
    <w:p w14:paraId="0822536C" w14:textId="77777777" w:rsidR="00083D91" w:rsidRPr="00805D25" w:rsidRDefault="00083D91" w:rsidP="00083D91">
      <w:pPr>
        <w:widowControl/>
        <w:numPr>
          <w:ilvl w:val="0"/>
          <w:numId w:val="4"/>
        </w:numPr>
        <w:spacing w:line="299" w:lineRule="atLeast"/>
        <w:ind w:left="816"/>
        <w:jc w:val="both"/>
        <w:rPr>
          <w:rFonts w:ascii="Cambria" w:eastAsia="Times New Roman" w:hAnsi="Cambria" w:cs="Times New Roman"/>
        </w:rPr>
      </w:pPr>
      <w:r w:rsidRPr="00805D25">
        <w:rPr>
          <w:rFonts w:ascii="Cambria" w:eastAsia="Times New Roman" w:hAnsi="Cambria" w:cs="Times New Roman"/>
        </w:rPr>
        <w:t>Taxation - Separate disclosures regarding claims related to direct and indirect taxes, in a consolidated manner giving details of number of cases and total amount.</w:t>
      </w:r>
    </w:p>
    <w:p w14:paraId="27E71DDE" w14:textId="77777777" w:rsidR="00083D91" w:rsidRPr="00805D25" w:rsidRDefault="00083D91" w:rsidP="00083D91">
      <w:pPr>
        <w:widowControl/>
        <w:spacing w:line="299" w:lineRule="atLeast"/>
        <w:ind w:left="816"/>
        <w:jc w:val="both"/>
        <w:rPr>
          <w:rFonts w:ascii="Cambria" w:eastAsia="Times New Roman" w:hAnsi="Cambria" w:cs="Times New Roman"/>
        </w:rPr>
      </w:pPr>
    </w:p>
    <w:p w14:paraId="68719A00" w14:textId="77777777" w:rsidR="00083D91" w:rsidRPr="00805D25" w:rsidRDefault="00083D91" w:rsidP="00083D91">
      <w:pPr>
        <w:spacing w:line="299" w:lineRule="atLeast"/>
        <w:jc w:val="both"/>
        <w:rPr>
          <w:rFonts w:ascii="Cambria" w:eastAsia="Times New Roman" w:hAnsi="Cambria" w:cs="Times New Roman"/>
        </w:rPr>
      </w:pPr>
      <w:r w:rsidRPr="00805D25">
        <w:rPr>
          <w:rFonts w:ascii="Cambria" w:eastAsia="Times New Roman" w:hAnsi="Cambria" w:cs="Times New Roman"/>
        </w:rPr>
        <w:t>Besides the abovementioned litigations, other material pending litigations, as per policy of materiality defined by the Board shall also be disclosed in the Offer Documents.</w:t>
      </w:r>
    </w:p>
    <w:p w14:paraId="692DCF5C" w14:textId="77777777" w:rsidR="00083D91" w:rsidRPr="00805D25" w:rsidRDefault="00083D91" w:rsidP="00083D91">
      <w:pPr>
        <w:spacing w:line="299" w:lineRule="atLeast"/>
        <w:jc w:val="both"/>
        <w:rPr>
          <w:rFonts w:ascii="Cambria" w:eastAsia="Times New Roman" w:hAnsi="Cambria" w:cs="Times New Roman"/>
        </w:rPr>
      </w:pPr>
    </w:p>
    <w:p w14:paraId="1D78E2B4" w14:textId="77777777" w:rsidR="00083D91" w:rsidRPr="00805D25" w:rsidRDefault="00083D91" w:rsidP="00083D91">
      <w:pPr>
        <w:spacing w:line="299" w:lineRule="atLeast"/>
        <w:jc w:val="both"/>
        <w:rPr>
          <w:rFonts w:ascii="Cambria" w:eastAsia="Times New Roman" w:hAnsi="Cambria" w:cs="Times New Roman"/>
        </w:rPr>
      </w:pPr>
      <w:r w:rsidRPr="00805D25">
        <w:rPr>
          <w:rFonts w:ascii="Cambria" w:eastAsia="Times New Roman" w:hAnsi="Cambria" w:cs="Times New Roman"/>
        </w:rPr>
        <w:t>In this regard, all other pending litigation involving the Issuer, its directors, promoters, group companies and subsidiaries, other than criminal proceedings, statutory or regulatory actions and taxation matters, would be considered ‘material’ for the purpose of disclosure in the Offer Documents, if:</w:t>
      </w:r>
    </w:p>
    <w:p w14:paraId="419DC48B" w14:textId="77777777" w:rsidR="00083D91" w:rsidRPr="00805D25" w:rsidRDefault="00083D91" w:rsidP="00083D91">
      <w:pPr>
        <w:spacing w:line="299" w:lineRule="atLeast"/>
        <w:jc w:val="both"/>
        <w:rPr>
          <w:rFonts w:ascii="Cambria" w:eastAsia="Times New Roman" w:hAnsi="Cambria" w:cs="Times New Roman"/>
        </w:rPr>
      </w:pPr>
    </w:p>
    <w:p w14:paraId="5C89E854" w14:textId="0A1620AE" w:rsidR="00083D91" w:rsidRPr="00805D25" w:rsidRDefault="00083D91" w:rsidP="00083D91">
      <w:pPr>
        <w:widowControl/>
        <w:numPr>
          <w:ilvl w:val="0"/>
          <w:numId w:val="5"/>
        </w:numPr>
        <w:spacing w:line="299" w:lineRule="atLeast"/>
        <w:ind w:left="816"/>
        <w:jc w:val="both"/>
        <w:rPr>
          <w:rFonts w:ascii="Cambria" w:eastAsia="Times New Roman" w:hAnsi="Cambria" w:cs="Times New Roman"/>
        </w:rPr>
      </w:pPr>
      <w:r w:rsidRPr="00805D25">
        <w:rPr>
          <w:rFonts w:ascii="Cambria" w:eastAsia="Times New Roman" w:hAnsi="Cambria" w:cs="Times New Roman"/>
        </w:rPr>
        <w:t>The monetary amount of claim by or against the entity or person in any such pending matter(s) is in excess</w:t>
      </w:r>
      <w:r w:rsidR="00E6659D" w:rsidRPr="00805D25">
        <w:rPr>
          <w:rFonts w:ascii="Cambria" w:eastAsia="Times New Roman" w:hAnsi="Cambria" w:cs="Times New Roman"/>
        </w:rPr>
        <w:t xml:space="preserve"> of </w:t>
      </w:r>
      <w:proofErr w:type="spellStart"/>
      <w:r w:rsidR="00E6659D" w:rsidRPr="00805D25">
        <w:rPr>
          <w:rFonts w:ascii="Cambria" w:eastAsia="Times New Roman" w:hAnsi="Cambria" w:cs="Times New Roman"/>
        </w:rPr>
        <w:t>Rs</w:t>
      </w:r>
      <w:proofErr w:type="spellEnd"/>
      <w:r w:rsidR="00E6659D" w:rsidRPr="00805D25">
        <w:rPr>
          <w:rFonts w:ascii="Cambria" w:eastAsia="Times New Roman" w:hAnsi="Cambria" w:cs="Times New Roman"/>
        </w:rPr>
        <w:t>. 20 million; or</w:t>
      </w:r>
      <w:r w:rsidRPr="00805D25">
        <w:rPr>
          <w:rFonts w:ascii="Cambria" w:eastAsia="Times New Roman" w:hAnsi="Cambria" w:cs="Times New Roman"/>
        </w:rPr>
        <w:t xml:space="preserve"> 5% of the </w:t>
      </w:r>
      <w:r w:rsidR="00E6659D" w:rsidRPr="00805D25">
        <w:rPr>
          <w:rFonts w:ascii="Cambria" w:eastAsia="Times New Roman" w:hAnsi="Cambria" w:cs="Times New Roman"/>
        </w:rPr>
        <w:t>net</w:t>
      </w:r>
      <w:r w:rsidRPr="00805D25">
        <w:rPr>
          <w:rFonts w:ascii="Cambria" w:eastAsia="Times New Roman" w:hAnsi="Cambria" w:cs="Times New Roman"/>
        </w:rPr>
        <w:t xml:space="preserve"> profits after tax of the Company for the most recent audited fiscal period whichever is higher</w:t>
      </w:r>
    </w:p>
    <w:p w14:paraId="31A2C492" w14:textId="77777777" w:rsidR="00083D91" w:rsidRPr="00805D25" w:rsidRDefault="00083D91" w:rsidP="00083D91">
      <w:pPr>
        <w:widowControl/>
        <w:spacing w:line="299" w:lineRule="atLeast"/>
        <w:ind w:left="816"/>
        <w:jc w:val="both"/>
        <w:rPr>
          <w:rFonts w:ascii="Cambria" w:eastAsia="Times New Roman" w:hAnsi="Cambria" w:cs="Times New Roman"/>
        </w:rPr>
      </w:pPr>
    </w:p>
    <w:p w14:paraId="4C5BD7A6" w14:textId="0E4A9F19" w:rsidR="00083D91" w:rsidRPr="00805D25" w:rsidRDefault="00083D91" w:rsidP="00083D91">
      <w:pPr>
        <w:widowControl/>
        <w:numPr>
          <w:ilvl w:val="0"/>
          <w:numId w:val="5"/>
        </w:numPr>
        <w:spacing w:line="299" w:lineRule="atLeast"/>
        <w:ind w:left="816"/>
        <w:jc w:val="both"/>
        <w:rPr>
          <w:rFonts w:ascii="Cambria" w:eastAsia="Times New Roman" w:hAnsi="Cambria" w:cs="Times New Roman"/>
        </w:rPr>
      </w:pPr>
      <w:r w:rsidRPr="00805D25">
        <w:rPr>
          <w:rFonts w:ascii="Cambria" w:eastAsia="Times New Roman" w:hAnsi="Cambria" w:cs="Times New Roman"/>
        </w:rPr>
        <w:t>Where the decision in one litigation is likely to affect the decision in similar litigations, even though the amount involved in such single litigation individually may not exceed 5% of</w:t>
      </w:r>
      <w:r w:rsidR="00E6659D" w:rsidRPr="00805D25">
        <w:rPr>
          <w:rFonts w:ascii="Cambria" w:eastAsia="Times New Roman" w:hAnsi="Cambria" w:cs="Times New Roman"/>
        </w:rPr>
        <w:t xml:space="preserve"> the net</w:t>
      </w:r>
      <w:r w:rsidRPr="00805D25">
        <w:rPr>
          <w:rFonts w:ascii="Cambria" w:eastAsia="Times New Roman" w:hAnsi="Cambria" w:cs="Times New Roman"/>
        </w:rPr>
        <w:t xml:space="preserve"> profit after tax of the Company as per the last consolidated audited financial statements, if similar litigations put together collectively exceed 5% of the </w:t>
      </w:r>
      <w:r w:rsidR="00E6659D" w:rsidRPr="00805D25">
        <w:rPr>
          <w:rFonts w:ascii="Cambria" w:eastAsia="Times New Roman" w:hAnsi="Cambria" w:cs="Times New Roman"/>
        </w:rPr>
        <w:t>net</w:t>
      </w:r>
      <w:r w:rsidRPr="00805D25">
        <w:rPr>
          <w:rFonts w:ascii="Cambria" w:eastAsia="Times New Roman" w:hAnsi="Cambria" w:cs="Times New Roman"/>
        </w:rPr>
        <w:t xml:space="preserve"> profit after tax of the Company</w:t>
      </w:r>
    </w:p>
    <w:p w14:paraId="7A6CE77F" w14:textId="77777777" w:rsidR="00083D91" w:rsidRPr="00805D25" w:rsidRDefault="00083D91" w:rsidP="00083D91">
      <w:pPr>
        <w:widowControl/>
        <w:spacing w:line="299" w:lineRule="atLeast"/>
        <w:ind w:left="816"/>
        <w:jc w:val="both"/>
        <w:rPr>
          <w:rFonts w:ascii="Cambria" w:eastAsia="Times New Roman" w:hAnsi="Cambria" w:cs="Times New Roman"/>
        </w:rPr>
      </w:pPr>
    </w:p>
    <w:p w14:paraId="3EF9FE6E" w14:textId="77777777" w:rsidR="00083D91" w:rsidRPr="00805D25" w:rsidRDefault="00083D91" w:rsidP="00083D91">
      <w:pPr>
        <w:widowControl/>
        <w:numPr>
          <w:ilvl w:val="0"/>
          <w:numId w:val="5"/>
        </w:numPr>
        <w:spacing w:line="299" w:lineRule="atLeast"/>
        <w:ind w:left="816"/>
        <w:jc w:val="both"/>
        <w:rPr>
          <w:rFonts w:ascii="Cambria" w:eastAsia="Times New Roman" w:hAnsi="Cambria" w:cs="Times New Roman"/>
        </w:rPr>
      </w:pPr>
      <w:r w:rsidRPr="00805D25">
        <w:rPr>
          <w:rFonts w:ascii="Cambria" w:eastAsia="Times New Roman" w:hAnsi="Cambria" w:cs="Times New Roman"/>
        </w:rPr>
        <w:t>Such pending cases are material from the perspective of the Issuer’s business, operations, prospects or reputation.</w:t>
      </w:r>
    </w:p>
    <w:p w14:paraId="525CEEDF" w14:textId="77777777" w:rsidR="00083D91" w:rsidRPr="00805D25" w:rsidRDefault="00083D91" w:rsidP="00083D91">
      <w:pPr>
        <w:widowControl/>
        <w:spacing w:line="299" w:lineRule="atLeast"/>
        <w:ind w:left="816"/>
        <w:jc w:val="both"/>
        <w:rPr>
          <w:rFonts w:ascii="Cambria" w:eastAsia="Times New Roman" w:hAnsi="Cambria" w:cs="Times New Roman"/>
        </w:rPr>
      </w:pPr>
    </w:p>
    <w:p w14:paraId="5244BC33" w14:textId="77777777" w:rsidR="00083D91" w:rsidRPr="00805D25" w:rsidRDefault="00083D91" w:rsidP="00083D91">
      <w:pPr>
        <w:jc w:val="both"/>
        <w:rPr>
          <w:rFonts w:ascii="Cambria" w:eastAsia="Times New Roman" w:hAnsi="Cambria" w:cs="Times New Roman"/>
        </w:rPr>
      </w:pPr>
      <w:r w:rsidRPr="00805D25">
        <w:rPr>
          <w:rFonts w:ascii="Cambria" w:eastAsia="Times New Roman" w:hAnsi="Cambria" w:cs="Times New Roman"/>
        </w:rPr>
        <w:t>The board or any of its committees shall have the power and authority to determine suitable materiality thresholds for the subsequent financial years on the aforesaid basis or any other basis as may be determined by the board or any of its committees.</w:t>
      </w:r>
    </w:p>
    <w:sectPr w:rsidR="00083D91" w:rsidRPr="00805D25" w:rsidSect="00FA152E">
      <w:footerReference w:type="default" r:id="rId9"/>
      <w:pgSz w:w="12240" w:h="15840"/>
      <w:pgMar w:top="426" w:right="880" w:bottom="2160" w:left="1200" w:header="454" w:footer="1980"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1BD23" w14:textId="77777777" w:rsidR="00DA01B0" w:rsidRDefault="00DA01B0" w:rsidP="00787DF8">
      <w:r>
        <w:separator/>
      </w:r>
    </w:p>
  </w:endnote>
  <w:endnote w:type="continuationSeparator" w:id="0">
    <w:p w14:paraId="6D56EFFA" w14:textId="77777777" w:rsidR="00DA01B0" w:rsidRDefault="00DA01B0" w:rsidP="00787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987826"/>
      <w:docPartObj>
        <w:docPartGallery w:val="Page Numbers (Bottom of Page)"/>
        <w:docPartUnique/>
      </w:docPartObj>
    </w:sdtPr>
    <w:sdtEndPr>
      <w:rPr>
        <w:color w:val="7F7F7F" w:themeColor="background1" w:themeShade="7F"/>
        <w:spacing w:val="60"/>
      </w:rPr>
    </w:sdtEndPr>
    <w:sdtContent>
      <w:p w14:paraId="2BC950AD" w14:textId="672918FE" w:rsidR="00FA152E" w:rsidRDefault="00FA152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00DA8" w:rsidRPr="00D00DA8">
          <w:rPr>
            <w:b/>
            <w:bCs/>
            <w:noProof/>
          </w:rPr>
          <w:t>1</w:t>
        </w:r>
        <w:r>
          <w:rPr>
            <w:b/>
            <w:bCs/>
            <w:noProof/>
          </w:rPr>
          <w:fldChar w:fldCharType="end"/>
        </w:r>
        <w:r>
          <w:rPr>
            <w:b/>
            <w:bCs/>
          </w:rPr>
          <w:t xml:space="preserve"> | </w:t>
        </w:r>
        <w:r>
          <w:rPr>
            <w:color w:val="7F7F7F" w:themeColor="background1" w:themeShade="7F"/>
            <w:spacing w:val="60"/>
          </w:rPr>
          <w:t>Page</w:t>
        </w:r>
      </w:p>
    </w:sdtContent>
  </w:sdt>
  <w:p w14:paraId="513AAB84" w14:textId="6C4EF2E6" w:rsidR="00787DF8" w:rsidRDefault="00787DF8">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4CC8A" w14:textId="77777777" w:rsidR="00DA01B0" w:rsidRDefault="00DA01B0" w:rsidP="00787DF8">
      <w:r>
        <w:separator/>
      </w:r>
    </w:p>
  </w:footnote>
  <w:footnote w:type="continuationSeparator" w:id="0">
    <w:p w14:paraId="188AD583" w14:textId="77777777" w:rsidR="00DA01B0" w:rsidRDefault="00DA01B0" w:rsidP="00787D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02A3B"/>
    <w:multiLevelType w:val="hybridMultilevel"/>
    <w:tmpl w:val="912E395E"/>
    <w:lvl w:ilvl="0" w:tplc="1CE83B62">
      <w:start w:val="1"/>
      <w:numFmt w:val="lowerLetter"/>
      <w:lvlText w:val="%1."/>
      <w:lvlJc w:val="left"/>
      <w:pPr>
        <w:ind w:left="780" w:hanging="449"/>
      </w:pPr>
      <w:rPr>
        <w:rFonts w:ascii="Calibri" w:eastAsia="Calibri" w:hAnsi="Calibri" w:cs="Calibri" w:hint="default"/>
        <w:spacing w:val="-16"/>
        <w:w w:val="99"/>
        <w:sz w:val="24"/>
        <w:szCs w:val="24"/>
      </w:rPr>
    </w:lvl>
    <w:lvl w:ilvl="1" w:tplc="973676AE">
      <w:start w:val="1"/>
      <w:numFmt w:val="lowerLetter"/>
      <w:lvlText w:val="%2."/>
      <w:lvlJc w:val="left"/>
      <w:pPr>
        <w:ind w:left="960" w:hanging="360"/>
      </w:pPr>
      <w:rPr>
        <w:rFonts w:ascii="Calibri" w:eastAsia="Calibri" w:hAnsi="Calibri" w:cs="Calibri" w:hint="default"/>
        <w:b/>
        <w:bCs/>
        <w:spacing w:val="-3"/>
        <w:w w:val="100"/>
        <w:sz w:val="24"/>
        <w:szCs w:val="24"/>
      </w:rPr>
    </w:lvl>
    <w:lvl w:ilvl="2" w:tplc="71069290">
      <w:start w:val="1"/>
      <w:numFmt w:val="lowerRoman"/>
      <w:lvlText w:val="%3."/>
      <w:lvlJc w:val="left"/>
      <w:pPr>
        <w:ind w:left="1951" w:hanging="838"/>
        <w:jc w:val="right"/>
      </w:pPr>
      <w:rPr>
        <w:rFonts w:ascii="Calibri" w:eastAsia="Calibri" w:hAnsi="Calibri" w:cs="Calibri" w:hint="default"/>
        <w:spacing w:val="-1"/>
        <w:w w:val="100"/>
        <w:sz w:val="24"/>
        <w:szCs w:val="24"/>
      </w:rPr>
    </w:lvl>
    <w:lvl w:ilvl="3" w:tplc="0C50C634">
      <w:start w:val="1"/>
      <w:numFmt w:val="bullet"/>
      <w:lvlText w:val="•"/>
      <w:lvlJc w:val="left"/>
      <w:pPr>
        <w:ind w:left="2985" w:hanging="838"/>
      </w:pPr>
      <w:rPr>
        <w:rFonts w:hint="default"/>
      </w:rPr>
    </w:lvl>
    <w:lvl w:ilvl="4" w:tplc="325C7CC8">
      <w:start w:val="1"/>
      <w:numFmt w:val="bullet"/>
      <w:lvlText w:val="•"/>
      <w:lvlJc w:val="left"/>
      <w:pPr>
        <w:ind w:left="4010" w:hanging="838"/>
      </w:pPr>
      <w:rPr>
        <w:rFonts w:hint="default"/>
      </w:rPr>
    </w:lvl>
    <w:lvl w:ilvl="5" w:tplc="994A2944">
      <w:start w:val="1"/>
      <w:numFmt w:val="bullet"/>
      <w:lvlText w:val="•"/>
      <w:lvlJc w:val="left"/>
      <w:pPr>
        <w:ind w:left="5035" w:hanging="838"/>
      </w:pPr>
      <w:rPr>
        <w:rFonts w:hint="default"/>
      </w:rPr>
    </w:lvl>
    <w:lvl w:ilvl="6" w:tplc="95E86EF8">
      <w:start w:val="1"/>
      <w:numFmt w:val="bullet"/>
      <w:lvlText w:val="•"/>
      <w:lvlJc w:val="left"/>
      <w:pPr>
        <w:ind w:left="6060" w:hanging="838"/>
      </w:pPr>
      <w:rPr>
        <w:rFonts w:hint="default"/>
      </w:rPr>
    </w:lvl>
    <w:lvl w:ilvl="7" w:tplc="9C88B52C">
      <w:start w:val="1"/>
      <w:numFmt w:val="bullet"/>
      <w:lvlText w:val="•"/>
      <w:lvlJc w:val="left"/>
      <w:pPr>
        <w:ind w:left="7085" w:hanging="838"/>
      </w:pPr>
      <w:rPr>
        <w:rFonts w:hint="default"/>
      </w:rPr>
    </w:lvl>
    <w:lvl w:ilvl="8" w:tplc="D5AA68A4">
      <w:start w:val="1"/>
      <w:numFmt w:val="bullet"/>
      <w:lvlText w:val="•"/>
      <w:lvlJc w:val="left"/>
      <w:pPr>
        <w:ind w:left="8110" w:hanging="838"/>
      </w:pPr>
      <w:rPr>
        <w:rFonts w:hint="default"/>
      </w:rPr>
    </w:lvl>
  </w:abstractNum>
  <w:abstractNum w:abstractNumId="1">
    <w:nsid w:val="267D451E"/>
    <w:multiLevelType w:val="hybridMultilevel"/>
    <w:tmpl w:val="D0144DFC"/>
    <w:lvl w:ilvl="0" w:tplc="447CBBE2">
      <w:start w:val="1"/>
      <w:numFmt w:val="lowerRoman"/>
      <w:lvlText w:val="(%1)"/>
      <w:lvlJc w:val="left"/>
      <w:pPr>
        <w:ind w:left="960" w:hanging="360"/>
      </w:pPr>
      <w:rPr>
        <w:rFonts w:ascii="Calibri" w:eastAsia="Calibri" w:hAnsi="Calibri" w:cs="Calibri" w:hint="default"/>
        <w:i/>
        <w:spacing w:val="-13"/>
        <w:w w:val="100"/>
        <w:sz w:val="24"/>
        <w:szCs w:val="24"/>
      </w:rPr>
    </w:lvl>
    <w:lvl w:ilvl="1" w:tplc="7BB0A612">
      <w:start w:val="1"/>
      <w:numFmt w:val="bullet"/>
      <w:lvlText w:val="•"/>
      <w:lvlJc w:val="left"/>
      <w:pPr>
        <w:ind w:left="1880" w:hanging="360"/>
      </w:pPr>
      <w:rPr>
        <w:rFonts w:hint="default"/>
      </w:rPr>
    </w:lvl>
    <w:lvl w:ilvl="2" w:tplc="83C22D8A">
      <w:start w:val="1"/>
      <w:numFmt w:val="bullet"/>
      <w:lvlText w:val="•"/>
      <w:lvlJc w:val="left"/>
      <w:pPr>
        <w:ind w:left="2800" w:hanging="360"/>
      </w:pPr>
      <w:rPr>
        <w:rFonts w:hint="default"/>
      </w:rPr>
    </w:lvl>
    <w:lvl w:ilvl="3" w:tplc="4B60F1DC">
      <w:start w:val="1"/>
      <w:numFmt w:val="bullet"/>
      <w:lvlText w:val="•"/>
      <w:lvlJc w:val="left"/>
      <w:pPr>
        <w:ind w:left="3720" w:hanging="360"/>
      </w:pPr>
      <w:rPr>
        <w:rFonts w:hint="default"/>
      </w:rPr>
    </w:lvl>
    <w:lvl w:ilvl="4" w:tplc="22E63220">
      <w:start w:val="1"/>
      <w:numFmt w:val="bullet"/>
      <w:lvlText w:val="•"/>
      <w:lvlJc w:val="left"/>
      <w:pPr>
        <w:ind w:left="4640" w:hanging="360"/>
      </w:pPr>
      <w:rPr>
        <w:rFonts w:hint="default"/>
      </w:rPr>
    </w:lvl>
    <w:lvl w:ilvl="5" w:tplc="748EC546">
      <w:start w:val="1"/>
      <w:numFmt w:val="bullet"/>
      <w:lvlText w:val="•"/>
      <w:lvlJc w:val="left"/>
      <w:pPr>
        <w:ind w:left="5560" w:hanging="360"/>
      </w:pPr>
      <w:rPr>
        <w:rFonts w:hint="default"/>
      </w:rPr>
    </w:lvl>
    <w:lvl w:ilvl="6" w:tplc="C7A0EEB0">
      <w:start w:val="1"/>
      <w:numFmt w:val="bullet"/>
      <w:lvlText w:val="•"/>
      <w:lvlJc w:val="left"/>
      <w:pPr>
        <w:ind w:left="6480" w:hanging="360"/>
      </w:pPr>
      <w:rPr>
        <w:rFonts w:hint="default"/>
      </w:rPr>
    </w:lvl>
    <w:lvl w:ilvl="7" w:tplc="6742B144">
      <w:start w:val="1"/>
      <w:numFmt w:val="bullet"/>
      <w:lvlText w:val="•"/>
      <w:lvlJc w:val="left"/>
      <w:pPr>
        <w:ind w:left="7400" w:hanging="360"/>
      </w:pPr>
      <w:rPr>
        <w:rFonts w:hint="default"/>
      </w:rPr>
    </w:lvl>
    <w:lvl w:ilvl="8" w:tplc="024A3660">
      <w:start w:val="1"/>
      <w:numFmt w:val="bullet"/>
      <w:lvlText w:val="•"/>
      <w:lvlJc w:val="left"/>
      <w:pPr>
        <w:ind w:left="8320" w:hanging="360"/>
      </w:pPr>
      <w:rPr>
        <w:rFonts w:hint="default"/>
      </w:rPr>
    </w:lvl>
  </w:abstractNum>
  <w:abstractNum w:abstractNumId="2">
    <w:nsid w:val="3B0C7EE3"/>
    <w:multiLevelType w:val="hybridMultilevel"/>
    <w:tmpl w:val="5C72D57E"/>
    <w:lvl w:ilvl="0" w:tplc="F4A0557C">
      <w:start w:val="1"/>
      <w:numFmt w:val="bullet"/>
      <w:lvlText w:val=""/>
      <w:lvlJc w:val="left"/>
      <w:pPr>
        <w:ind w:left="1320" w:hanging="360"/>
      </w:pPr>
      <w:rPr>
        <w:rFonts w:ascii="Symbol" w:eastAsia="Symbol" w:hAnsi="Symbol" w:cs="Symbol" w:hint="default"/>
        <w:w w:val="100"/>
        <w:sz w:val="24"/>
        <w:szCs w:val="24"/>
      </w:rPr>
    </w:lvl>
    <w:lvl w:ilvl="1" w:tplc="FDCAD27E">
      <w:start w:val="1"/>
      <w:numFmt w:val="bullet"/>
      <w:lvlText w:val="•"/>
      <w:lvlJc w:val="left"/>
      <w:pPr>
        <w:ind w:left="2204" w:hanging="360"/>
      </w:pPr>
      <w:rPr>
        <w:rFonts w:hint="default"/>
      </w:rPr>
    </w:lvl>
    <w:lvl w:ilvl="2" w:tplc="C0C6F768">
      <w:start w:val="1"/>
      <w:numFmt w:val="bullet"/>
      <w:lvlText w:val="•"/>
      <w:lvlJc w:val="left"/>
      <w:pPr>
        <w:ind w:left="3088" w:hanging="360"/>
      </w:pPr>
      <w:rPr>
        <w:rFonts w:hint="default"/>
      </w:rPr>
    </w:lvl>
    <w:lvl w:ilvl="3" w:tplc="FC086260">
      <w:start w:val="1"/>
      <w:numFmt w:val="bullet"/>
      <w:lvlText w:val="•"/>
      <w:lvlJc w:val="left"/>
      <w:pPr>
        <w:ind w:left="3972" w:hanging="360"/>
      </w:pPr>
      <w:rPr>
        <w:rFonts w:hint="default"/>
      </w:rPr>
    </w:lvl>
    <w:lvl w:ilvl="4" w:tplc="8798684E">
      <w:start w:val="1"/>
      <w:numFmt w:val="bullet"/>
      <w:lvlText w:val="•"/>
      <w:lvlJc w:val="left"/>
      <w:pPr>
        <w:ind w:left="4856" w:hanging="360"/>
      </w:pPr>
      <w:rPr>
        <w:rFonts w:hint="default"/>
      </w:rPr>
    </w:lvl>
    <w:lvl w:ilvl="5" w:tplc="D0D4E23C">
      <w:start w:val="1"/>
      <w:numFmt w:val="bullet"/>
      <w:lvlText w:val="•"/>
      <w:lvlJc w:val="left"/>
      <w:pPr>
        <w:ind w:left="5740" w:hanging="360"/>
      </w:pPr>
      <w:rPr>
        <w:rFonts w:hint="default"/>
      </w:rPr>
    </w:lvl>
    <w:lvl w:ilvl="6" w:tplc="D9A41352">
      <w:start w:val="1"/>
      <w:numFmt w:val="bullet"/>
      <w:lvlText w:val="•"/>
      <w:lvlJc w:val="left"/>
      <w:pPr>
        <w:ind w:left="6624" w:hanging="360"/>
      </w:pPr>
      <w:rPr>
        <w:rFonts w:hint="default"/>
      </w:rPr>
    </w:lvl>
    <w:lvl w:ilvl="7" w:tplc="A8F09682">
      <w:start w:val="1"/>
      <w:numFmt w:val="bullet"/>
      <w:lvlText w:val="•"/>
      <w:lvlJc w:val="left"/>
      <w:pPr>
        <w:ind w:left="7508" w:hanging="360"/>
      </w:pPr>
      <w:rPr>
        <w:rFonts w:hint="default"/>
      </w:rPr>
    </w:lvl>
    <w:lvl w:ilvl="8" w:tplc="5E3C8B86">
      <w:start w:val="1"/>
      <w:numFmt w:val="bullet"/>
      <w:lvlText w:val="•"/>
      <w:lvlJc w:val="left"/>
      <w:pPr>
        <w:ind w:left="8392" w:hanging="360"/>
      </w:pPr>
      <w:rPr>
        <w:rFonts w:hint="default"/>
      </w:rPr>
    </w:lvl>
  </w:abstractNum>
  <w:abstractNum w:abstractNumId="3">
    <w:nsid w:val="3ECC47EB"/>
    <w:multiLevelType w:val="multilevel"/>
    <w:tmpl w:val="A340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8A4599"/>
    <w:multiLevelType w:val="multilevel"/>
    <w:tmpl w:val="7D081C8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2"/>
  </w:compat>
  <w:rsids>
    <w:rsidRoot w:val="00787DF8"/>
    <w:rsid w:val="00004F5B"/>
    <w:rsid w:val="00060AB7"/>
    <w:rsid w:val="00083D91"/>
    <w:rsid w:val="000D2BE4"/>
    <w:rsid w:val="000E7286"/>
    <w:rsid w:val="001105C9"/>
    <w:rsid w:val="002178C4"/>
    <w:rsid w:val="00251D19"/>
    <w:rsid w:val="00290AF1"/>
    <w:rsid w:val="003479C0"/>
    <w:rsid w:val="003A65C6"/>
    <w:rsid w:val="003B300D"/>
    <w:rsid w:val="004765B9"/>
    <w:rsid w:val="004B612C"/>
    <w:rsid w:val="004C14E2"/>
    <w:rsid w:val="00515853"/>
    <w:rsid w:val="005E21B5"/>
    <w:rsid w:val="00620475"/>
    <w:rsid w:val="006E3DD5"/>
    <w:rsid w:val="006F2D87"/>
    <w:rsid w:val="00741623"/>
    <w:rsid w:val="0074194F"/>
    <w:rsid w:val="00773718"/>
    <w:rsid w:val="00787DF8"/>
    <w:rsid w:val="007A1F32"/>
    <w:rsid w:val="00805D25"/>
    <w:rsid w:val="008371C7"/>
    <w:rsid w:val="00847F2B"/>
    <w:rsid w:val="00850524"/>
    <w:rsid w:val="009A4E64"/>
    <w:rsid w:val="009B0B4A"/>
    <w:rsid w:val="009F4272"/>
    <w:rsid w:val="00A201DA"/>
    <w:rsid w:val="00A645AF"/>
    <w:rsid w:val="00A74208"/>
    <w:rsid w:val="00A87864"/>
    <w:rsid w:val="00AF2006"/>
    <w:rsid w:val="00AF25E8"/>
    <w:rsid w:val="00B524B4"/>
    <w:rsid w:val="00BF2D10"/>
    <w:rsid w:val="00C2206C"/>
    <w:rsid w:val="00CE1084"/>
    <w:rsid w:val="00D00DA8"/>
    <w:rsid w:val="00D24345"/>
    <w:rsid w:val="00D518BF"/>
    <w:rsid w:val="00D64391"/>
    <w:rsid w:val="00DA01B0"/>
    <w:rsid w:val="00DB200A"/>
    <w:rsid w:val="00DC2920"/>
    <w:rsid w:val="00E32576"/>
    <w:rsid w:val="00E6659D"/>
    <w:rsid w:val="00E85209"/>
    <w:rsid w:val="00EF1225"/>
    <w:rsid w:val="00F1405E"/>
    <w:rsid w:val="00F170DD"/>
    <w:rsid w:val="00F23096"/>
    <w:rsid w:val="00FA152E"/>
    <w:rsid w:val="00FB091B"/>
    <w:rsid w:val="00FB1A85"/>
    <w:rsid w:val="00FC6306"/>
    <w:rsid w:val="00FE3F8C"/>
    <w:rsid w:val="00FE7039"/>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D2DCF0"/>
  <w15:docId w15:val="{D54EFFC0-6735-42C9-8A08-2B9D6A60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87DF8"/>
    <w:rPr>
      <w:rFonts w:ascii="Calibri" w:eastAsia="Calibri" w:hAnsi="Calibri" w:cs="Calibri"/>
    </w:rPr>
  </w:style>
  <w:style w:type="paragraph" w:styleId="Heading1">
    <w:name w:val="heading 1"/>
    <w:basedOn w:val="Normal"/>
    <w:uiPriority w:val="1"/>
    <w:qFormat/>
    <w:rsid w:val="00787DF8"/>
    <w:pPr>
      <w:ind w:left="96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87DF8"/>
    <w:rPr>
      <w:sz w:val="24"/>
      <w:szCs w:val="24"/>
    </w:rPr>
  </w:style>
  <w:style w:type="paragraph" w:styleId="ListParagraph">
    <w:name w:val="List Paragraph"/>
    <w:basedOn w:val="Normal"/>
    <w:uiPriority w:val="1"/>
    <w:qFormat/>
    <w:rsid w:val="00787DF8"/>
    <w:pPr>
      <w:ind w:left="960" w:hanging="360"/>
    </w:pPr>
  </w:style>
  <w:style w:type="paragraph" w:customStyle="1" w:styleId="TableParagraph">
    <w:name w:val="Table Paragraph"/>
    <w:basedOn w:val="Normal"/>
    <w:uiPriority w:val="1"/>
    <w:qFormat/>
    <w:rsid w:val="00787DF8"/>
    <w:pPr>
      <w:ind w:left="108"/>
    </w:pPr>
  </w:style>
  <w:style w:type="character" w:styleId="Hyperlink">
    <w:name w:val="Hyperlink"/>
    <w:basedOn w:val="DefaultParagraphFont"/>
    <w:uiPriority w:val="99"/>
    <w:unhideWhenUsed/>
    <w:rsid w:val="00E85209"/>
    <w:rPr>
      <w:color w:val="0000FF" w:themeColor="hyperlink"/>
      <w:u w:val="single"/>
    </w:rPr>
  </w:style>
  <w:style w:type="paragraph" w:styleId="Header">
    <w:name w:val="header"/>
    <w:basedOn w:val="Normal"/>
    <w:link w:val="HeaderChar"/>
    <w:uiPriority w:val="99"/>
    <w:unhideWhenUsed/>
    <w:rsid w:val="00E85209"/>
    <w:pPr>
      <w:tabs>
        <w:tab w:val="center" w:pos="4680"/>
        <w:tab w:val="right" w:pos="9360"/>
      </w:tabs>
    </w:pPr>
  </w:style>
  <w:style w:type="character" w:customStyle="1" w:styleId="HeaderChar">
    <w:name w:val="Header Char"/>
    <w:basedOn w:val="DefaultParagraphFont"/>
    <w:link w:val="Header"/>
    <w:uiPriority w:val="99"/>
    <w:rsid w:val="00E85209"/>
    <w:rPr>
      <w:rFonts w:ascii="Calibri" w:eastAsia="Calibri" w:hAnsi="Calibri" w:cs="Calibri"/>
    </w:rPr>
  </w:style>
  <w:style w:type="paragraph" w:styleId="Footer">
    <w:name w:val="footer"/>
    <w:basedOn w:val="Normal"/>
    <w:link w:val="FooterChar"/>
    <w:uiPriority w:val="99"/>
    <w:unhideWhenUsed/>
    <w:rsid w:val="00E85209"/>
    <w:pPr>
      <w:tabs>
        <w:tab w:val="center" w:pos="4680"/>
        <w:tab w:val="right" w:pos="9360"/>
      </w:tabs>
    </w:pPr>
  </w:style>
  <w:style w:type="character" w:customStyle="1" w:styleId="FooterChar">
    <w:name w:val="Footer Char"/>
    <w:basedOn w:val="DefaultParagraphFont"/>
    <w:link w:val="Footer"/>
    <w:uiPriority w:val="99"/>
    <w:rsid w:val="00E85209"/>
    <w:rPr>
      <w:rFonts w:ascii="Calibri" w:eastAsia="Calibri" w:hAnsi="Calibri" w:cs="Calibri"/>
    </w:rPr>
  </w:style>
  <w:style w:type="character" w:customStyle="1" w:styleId="BodyTextChar">
    <w:name w:val="Body Text Char"/>
    <w:basedOn w:val="DefaultParagraphFont"/>
    <w:link w:val="BodyText"/>
    <w:uiPriority w:val="1"/>
    <w:rsid w:val="007A1F32"/>
    <w:rPr>
      <w:rFonts w:ascii="Calibri" w:eastAsia="Calibri" w:hAnsi="Calibri" w:cs="Calibri"/>
      <w:sz w:val="24"/>
      <w:szCs w:val="24"/>
    </w:rPr>
  </w:style>
  <w:style w:type="character" w:customStyle="1" w:styleId="UnresolvedMention">
    <w:name w:val="Unresolved Mention"/>
    <w:basedOn w:val="DefaultParagraphFont"/>
    <w:uiPriority w:val="99"/>
    <w:semiHidden/>
    <w:unhideWhenUsed/>
    <w:rsid w:val="00741623"/>
    <w:rPr>
      <w:color w:val="605E5C"/>
      <w:shd w:val="clear" w:color="auto" w:fill="E1DFDD"/>
    </w:rPr>
  </w:style>
  <w:style w:type="paragraph" w:styleId="BalloonText">
    <w:name w:val="Balloon Text"/>
    <w:basedOn w:val="Normal"/>
    <w:link w:val="BalloonTextChar"/>
    <w:uiPriority w:val="99"/>
    <w:semiHidden/>
    <w:unhideWhenUsed/>
    <w:rsid w:val="005158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85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823019">
      <w:bodyDiv w:val="1"/>
      <w:marLeft w:val="0"/>
      <w:marRight w:val="0"/>
      <w:marTop w:val="0"/>
      <w:marBottom w:val="0"/>
      <w:divBdr>
        <w:top w:val="none" w:sz="0" w:space="0" w:color="auto"/>
        <w:left w:val="none" w:sz="0" w:space="0" w:color="auto"/>
        <w:bottom w:val="none" w:sz="0" w:space="0" w:color="auto"/>
        <w:right w:val="none" w:sz="0" w:space="0" w:color="auto"/>
      </w:divBdr>
    </w:div>
    <w:div w:id="714744601">
      <w:bodyDiv w:val="1"/>
      <w:marLeft w:val="0"/>
      <w:marRight w:val="0"/>
      <w:marTop w:val="0"/>
      <w:marBottom w:val="0"/>
      <w:divBdr>
        <w:top w:val="none" w:sz="0" w:space="0" w:color="auto"/>
        <w:left w:val="none" w:sz="0" w:space="0" w:color="auto"/>
        <w:bottom w:val="none" w:sz="0" w:space="0" w:color="auto"/>
        <w:right w:val="none" w:sz="0" w:space="0" w:color="auto"/>
      </w:divBdr>
    </w:div>
    <w:div w:id="968974507">
      <w:bodyDiv w:val="1"/>
      <w:marLeft w:val="0"/>
      <w:marRight w:val="0"/>
      <w:marTop w:val="0"/>
      <w:marBottom w:val="0"/>
      <w:divBdr>
        <w:top w:val="none" w:sz="0" w:space="0" w:color="auto"/>
        <w:left w:val="none" w:sz="0" w:space="0" w:color="auto"/>
        <w:bottom w:val="none" w:sz="0" w:space="0" w:color="auto"/>
        <w:right w:val="none" w:sz="0" w:space="0" w:color="auto"/>
      </w:divBdr>
    </w:div>
    <w:div w:id="1676761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rshanorna.com" TargetMode="External"/><Relationship Id="rId3" Type="http://schemas.openxmlformats.org/officeDocument/2006/relationships/settings" Target="settings.xml"/><Relationship Id="rId7" Type="http://schemas.openxmlformats.org/officeDocument/2006/relationships/hyperlink" Target="mailto:compliancingdarsha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CODE OF PRACTICES AND PROCEDURES FOR FAIR DISCLOSURES</vt:lpstr>
    </vt:vector>
  </TitlesOfParts>
  <Company/>
  <LinksUpToDate>false</LinksUpToDate>
  <CharactersWithSpaces>2355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PRACTICES AND PROCEDURES FOR FAIR DISCLOSURES</dc:title>
  <dc:creator>Monika</dc:creator>
  <cp:lastModifiedBy>ABC</cp:lastModifiedBy>
  <cp:revision>50</cp:revision>
  <cp:lastPrinted>2023-02-18T05:28:00Z</cp:lastPrinted>
  <dcterms:created xsi:type="dcterms:W3CDTF">2016-04-21T07:30:00Z</dcterms:created>
  <dcterms:modified xsi:type="dcterms:W3CDTF">2023-02-18T10:16:00Z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2015-12-30T00:00:00Z</vt:filetime>
  </property>
  <property fmtid="{D5CDD505-2E9C-101B-9397-08002B2CF9AE}" pid="3" name="Creator">
    <vt:lpwstr>Microsoft® Word 2010</vt:lpwstr>
  </property>
  <property fmtid="{D5CDD505-2E9C-101B-9397-08002B2CF9AE}" pid="4" name="LastSaved">
    <vt:filetime>2016-04-21T00:00:00Z</vt:filetime>
  </property>
</Properties>
</file>